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7CF5" w14:textId="77777777" w:rsidR="0075004E" w:rsidRDefault="0075004E" w:rsidP="0075004E">
      <w:pPr>
        <w:jc w:val="center"/>
        <w:rPr>
          <w:b/>
        </w:rPr>
      </w:pPr>
      <w:r w:rsidRPr="001A3EC8">
        <w:rPr>
          <w:b/>
        </w:rPr>
        <w:t>Memorandum of Understanding</w:t>
      </w:r>
    </w:p>
    <w:p w14:paraId="40C35A88" w14:textId="77777777" w:rsidR="0075004E" w:rsidRDefault="0075004E" w:rsidP="0075004E">
      <w:pPr>
        <w:jc w:val="center"/>
      </w:pPr>
      <w:r w:rsidRPr="001A3EC8">
        <w:t>Between</w:t>
      </w:r>
    </w:p>
    <w:p w14:paraId="1F174C0B" w14:textId="4BC6D17B" w:rsidR="0075004E" w:rsidRDefault="00717F10" w:rsidP="0075004E">
      <w:pPr>
        <w:jc w:val="center"/>
      </w:pPr>
      <w:r>
        <w:t xml:space="preserve">South Dakota Board of Regents (SDBOR) and </w:t>
      </w:r>
      <w:r w:rsidR="009F52E6">
        <w:t>Dakota State University (DSU)</w:t>
      </w:r>
    </w:p>
    <w:p w14:paraId="6181AE29" w14:textId="77777777" w:rsidR="0075004E" w:rsidRDefault="0075004E" w:rsidP="0075004E">
      <w:pPr>
        <w:jc w:val="center"/>
      </w:pPr>
      <w:r>
        <w:t>a</w:t>
      </w:r>
      <w:r w:rsidRPr="001A3EC8">
        <w:t>nd</w:t>
      </w:r>
    </w:p>
    <w:p w14:paraId="6497391A" w14:textId="681E4C80" w:rsidR="0075004E" w:rsidRPr="001A3EC8" w:rsidRDefault="00A63272" w:rsidP="0075004E">
      <w:pPr>
        <w:jc w:val="center"/>
      </w:pPr>
      <w:r>
        <w:t>O’Gorman High School, Sioux Falls (OGH)</w:t>
      </w:r>
    </w:p>
    <w:p w14:paraId="187675EF" w14:textId="77777777" w:rsidR="0075004E" w:rsidRPr="001A3EC8" w:rsidRDefault="0075004E" w:rsidP="0075004E">
      <w:pPr>
        <w:pStyle w:val="NormalWeb"/>
        <w:spacing w:before="0" w:beforeAutospacing="0" w:after="0" w:afterAutospacing="0"/>
      </w:pPr>
    </w:p>
    <w:p w14:paraId="13972359" w14:textId="3772168A" w:rsidR="0075004E" w:rsidRDefault="0075004E" w:rsidP="0075004E">
      <w:pPr>
        <w:pStyle w:val="NormalWeb"/>
        <w:spacing w:before="0" w:beforeAutospacing="0" w:after="0" w:afterAutospacing="0"/>
      </w:pPr>
      <w:r w:rsidRPr="001A3EC8">
        <w:t>This Memorandum of Understanding (MOU) sets for the terms and understanding between the</w:t>
      </w:r>
      <w:r w:rsidR="00717F10">
        <w:t xml:space="preserve"> SDBOR,</w:t>
      </w:r>
      <w:r w:rsidRPr="001A3EC8">
        <w:t xml:space="preserve"> </w:t>
      </w:r>
      <w:r w:rsidR="009F52E6">
        <w:t xml:space="preserve">DSU </w:t>
      </w:r>
      <w:r w:rsidRPr="001A3EC8">
        <w:t xml:space="preserve">and the </w:t>
      </w:r>
      <w:r w:rsidR="00A63272">
        <w:t>OGH</w:t>
      </w:r>
      <w:r w:rsidR="009F52E6">
        <w:t xml:space="preserve"> </w:t>
      </w:r>
      <w:r w:rsidRPr="001A3EC8">
        <w:t xml:space="preserve">to </w:t>
      </w:r>
      <w:r w:rsidR="009F52E6">
        <w:t xml:space="preserve">create and operate the Computer Science Academy of the </w:t>
      </w:r>
      <w:r w:rsidR="00A63272">
        <w:t>O’Gorman High School</w:t>
      </w:r>
      <w:r w:rsidR="009F52E6">
        <w:t>.</w:t>
      </w:r>
    </w:p>
    <w:p w14:paraId="2833D8C9" w14:textId="77777777" w:rsidR="0075004E" w:rsidRPr="001A3EC8" w:rsidRDefault="0075004E" w:rsidP="0075004E">
      <w:pPr>
        <w:pStyle w:val="NormalWeb"/>
        <w:spacing w:before="0" w:beforeAutospacing="0" w:after="0" w:afterAutospacing="0"/>
      </w:pPr>
    </w:p>
    <w:p w14:paraId="68106D7C" w14:textId="77777777" w:rsidR="0075004E" w:rsidRPr="001A3EC8" w:rsidRDefault="0075004E" w:rsidP="0075004E">
      <w:pPr>
        <w:pStyle w:val="NormalWeb"/>
        <w:spacing w:before="0" w:beforeAutospacing="0" w:after="0" w:afterAutospacing="0"/>
        <w:rPr>
          <w:b/>
        </w:rPr>
      </w:pPr>
      <w:r w:rsidRPr="001A3EC8">
        <w:rPr>
          <w:b/>
        </w:rPr>
        <w:t>Background</w:t>
      </w:r>
    </w:p>
    <w:p w14:paraId="59451F6A" w14:textId="64521F92" w:rsidR="0075004E" w:rsidRDefault="009F52E6" w:rsidP="0075004E">
      <w:pPr>
        <w:pStyle w:val="NormalWeb"/>
        <w:spacing w:before="0" w:beforeAutospacing="0" w:after="0" w:afterAutospacing="0"/>
      </w:pPr>
      <w:r>
        <w:t xml:space="preserve">WHEREAS, the </w:t>
      </w:r>
      <w:r w:rsidR="00A63272">
        <w:t>O’Gorman High School</w:t>
      </w:r>
      <w:r>
        <w:t xml:space="preserve"> is interested in providing</w:t>
      </w:r>
      <w:r w:rsidR="00BA5618">
        <w:t xml:space="preserve"> to their students </w:t>
      </w:r>
      <w:r>
        <w:t>additional and advanced educational programming in</w:t>
      </w:r>
      <w:r w:rsidR="00BA5618">
        <w:t xml:space="preserve"> computer science; and,</w:t>
      </w:r>
    </w:p>
    <w:p w14:paraId="6E37AD6B" w14:textId="6904DFAC" w:rsidR="00BA5618" w:rsidRDefault="00BA5618" w:rsidP="0075004E">
      <w:pPr>
        <w:pStyle w:val="NormalWeb"/>
        <w:spacing w:before="0" w:beforeAutospacing="0" w:after="0" w:afterAutospacing="0"/>
      </w:pPr>
    </w:p>
    <w:p w14:paraId="58E24CF3" w14:textId="1E23BC43" w:rsidR="00BA5618" w:rsidRDefault="00BA5618" w:rsidP="0075004E">
      <w:pPr>
        <w:pStyle w:val="NormalWeb"/>
        <w:spacing w:before="0" w:beforeAutospacing="0" w:after="0" w:afterAutospacing="0"/>
      </w:pPr>
      <w:r>
        <w:t xml:space="preserve">WHEREAS, Dakota State University through its Beacom College of Computer and Cyber Sciences is able to provide such additional and advanced educational programming; </w:t>
      </w:r>
      <w:r w:rsidR="00C96B02">
        <w:t>and,</w:t>
      </w:r>
    </w:p>
    <w:p w14:paraId="0FB68CB0" w14:textId="7046E17F" w:rsidR="00C96B02" w:rsidRDefault="00C96B02" w:rsidP="0075004E">
      <w:pPr>
        <w:pStyle w:val="NormalWeb"/>
        <w:spacing w:before="0" w:beforeAutospacing="0" w:after="0" w:afterAutospacing="0"/>
      </w:pPr>
    </w:p>
    <w:p w14:paraId="6A45AB1D" w14:textId="2855D135" w:rsidR="00C96B02" w:rsidRPr="001A3EC8" w:rsidRDefault="00C96B02" w:rsidP="0075004E">
      <w:pPr>
        <w:pStyle w:val="NormalWeb"/>
        <w:spacing w:before="0" w:beforeAutospacing="0" w:after="0" w:afterAutospacing="0"/>
      </w:pPr>
      <w:r>
        <w:t xml:space="preserve">WHEREAS, </w:t>
      </w:r>
      <w:r w:rsidR="00717F10">
        <w:t xml:space="preserve">the South Dakota Board of Regents, </w:t>
      </w:r>
      <w:r>
        <w:t xml:space="preserve">Dakota State University (The Beacom College of Computer and Cyber Sciences) and the </w:t>
      </w:r>
      <w:r w:rsidR="00A63272">
        <w:t>O’Gorman High School</w:t>
      </w:r>
      <w:r w:rsidR="00183F20">
        <w:t xml:space="preserve"> desire to enter into this Memorandum of Understanding setting out the following working arrangements that each of the partners agree are necessary to complete the project.</w:t>
      </w:r>
    </w:p>
    <w:p w14:paraId="4BD2F887" w14:textId="77777777" w:rsidR="0075004E" w:rsidRPr="001A3EC8" w:rsidRDefault="0075004E" w:rsidP="0075004E">
      <w:pPr>
        <w:pStyle w:val="NormalWeb"/>
        <w:spacing w:before="0" w:beforeAutospacing="0" w:after="0" w:afterAutospacing="0"/>
      </w:pPr>
    </w:p>
    <w:p w14:paraId="779536C5" w14:textId="2CD41920" w:rsidR="0075004E" w:rsidRPr="001A3EC8" w:rsidRDefault="0075004E" w:rsidP="0075004E">
      <w:pPr>
        <w:pStyle w:val="NormalWeb"/>
        <w:spacing w:before="0" w:beforeAutospacing="0" w:after="0" w:afterAutospacing="0"/>
        <w:rPr>
          <w:b/>
        </w:rPr>
      </w:pPr>
      <w:r w:rsidRPr="000F55B4">
        <w:rPr>
          <w:rStyle w:val="Strong"/>
        </w:rPr>
        <w:t>P</w:t>
      </w:r>
      <w:r w:rsidR="000F55B4" w:rsidRPr="000F55B4">
        <w:rPr>
          <w:rStyle w:val="Strong"/>
        </w:rPr>
        <w:t>roject</w:t>
      </w:r>
      <w:r w:rsidR="000F55B4">
        <w:rPr>
          <w:b/>
        </w:rPr>
        <w:t xml:space="preserve"> Intent</w:t>
      </w:r>
    </w:p>
    <w:p w14:paraId="5E5B9A49" w14:textId="0D4CFE99" w:rsidR="0075004E" w:rsidRDefault="000F55B4" w:rsidP="0075004E">
      <w:pPr>
        <w:pStyle w:val="NormalWeb"/>
        <w:spacing w:before="0" w:beforeAutospacing="0" w:after="0" w:afterAutospacing="0"/>
      </w:pPr>
      <w:r w:rsidRPr="000F55B4">
        <w:t>T</w:t>
      </w:r>
      <w:r w:rsidR="00A63272">
        <w:t xml:space="preserve">o offer one DSU Beacom College Course, CS150, to O’Gorman High School students during the Fall Semester, 2021. </w:t>
      </w:r>
    </w:p>
    <w:p w14:paraId="5FFA32F6" w14:textId="77777777" w:rsidR="000F55B4" w:rsidRPr="001A3EC8" w:rsidRDefault="000F55B4" w:rsidP="0075004E">
      <w:pPr>
        <w:pStyle w:val="NormalWeb"/>
        <w:spacing w:before="0" w:beforeAutospacing="0" w:after="0" w:afterAutospacing="0"/>
      </w:pPr>
    </w:p>
    <w:p w14:paraId="02380B4A" w14:textId="28B036D0" w:rsidR="0075004E" w:rsidRDefault="000F55B4" w:rsidP="000F55B4">
      <w:pPr>
        <w:pStyle w:val="NormalWeb"/>
        <w:spacing w:before="0" w:beforeAutospacing="0" w:after="0" w:afterAutospacing="0"/>
        <w:rPr>
          <w:b/>
        </w:rPr>
      </w:pPr>
      <w:r>
        <w:rPr>
          <w:b/>
        </w:rPr>
        <w:t>Description</w:t>
      </w:r>
    </w:p>
    <w:p w14:paraId="5DAE13B5" w14:textId="4140E64D" w:rsidR="0075004E" w:rsidRDefault="000F55B4" w:rsidP="00A63272">
      <w:pPr>
        <w:pStyle w:val="NormalWeb"/>
        <w:spacing w:after="0"/>
      </w:pPr>
      <w:r>
        <w:t xml:space="preserve">This </w:t>
      </w:r>
      <w:r w:rsidR="00A63272">
        <w:t xml:space="preserve">agreement will </w:t>
      </w:r>
      <w:r>
        <w:t xml:space="preserve">bring university level computer and cyber educational opportunities into the </w:t>
      </w:r>
      <w:r w:rsidR="00A63272">
        <w:t>OGH</w:t>
      </w:r>
      <w:r>
        <w:t xml:space="preserve"> school district</w:t>
      </w:r>
      <w:r w:rsidR="00A63272">
        <w:t xml:space="preserve"> and </w:t>
      </w:r>
      <w:r>
        <w:t xml:space="preserve">provide these </w:t>
      </w:r>
      <w:r w:rsidR="00A63272">
        <w:t xml:space="preserve">O’Gorman </w:t>
      </w:r>
      <w:r>
        <w:t>students with transferable credits</w:t>
      </w:r>
      <w:r w:rsidR="00A63272">
        <w:t>. The course to be delivered Fall 2021:</w:t>
      </w:r>
    </w:p>
    <w:p w14:paraId="0A978809" w14:textId="0A892659" w:rsidR="00182D43" w:rsidRPr="00182D43" w:rsidRDefault="00182D43" w:rsidP="00182D43">
      <w:pPr>
        <w:pStyle w:val="ListParagraph"/>
        <w:numPr>
          <w:ilvl w:val="0"/>
          <w:numId w:val="6"/>
        </w:numPr>
      </w:pPr>
      <w:r w:rsidRPr="00182D43">
        <w:t>CSC150 – Computer Science I (An introduction to computer programming. Focus on problem solving, algorithm development, design, and programming concepts. Topics include sequence, selection, repetition, functions, and arrays.)</w:t>
      </w:r>
    </w:p>
    <w:p w14:paraId="4BFEDAC1" w14:textId="639699C9" w:rsidR="0075004E" w:rsidRDefault="00182D43" w:rsidP="008E1D6C">
      <w:pPr>
        <w:rPr>
          <w:rStyle w:val="Strong"/>
        </w:rPr>
      </w:pPr>
      <w:r>
        <w:rPr>
          <w:rStyle w:val="Strong"/>
        </w:rPr>
        <w:t>Accommodations for the Project</w:t>
      </w:r>
    </w:p>
    <w:p w14:paraId="716C8BEE" w14:textId="4D0B0CD9" w:rsidR="008E1D6C" w:rsidRPr="008E1D6C" w:rsidRDefault="008E1D6C" w:rsidP="00A63272">
      <w:pPr>
        <w:pStyle w:val="ListParagraph"/>
        <w:numPr>
          <w:ilvl w:val="0"/>
          <w:numId w:val="8"/>
        </w:numPr>
        <w:rPr>
          <w:rStyle w:val="Strong"/>
          <w:b w:val="0"/>
        </w:rPr>
      </w:pPr>
      <w:r w:rsidRPr="008E1D6C">
        <w:rPr>
          <w:rStyle w:val="Strong"/>
          <w:b w:val="0"/>
        </w:rPr>
        <w:t>CSC150</w:t>
      </w:r>
      <w:r w:rsidR="00A63272">
        <w:rPr>
          <w:rStyle w:val="Strong"/>
          <w:b w:val="0"/>
        </w:rPr>
        <w:t xml:space="preserve"> is already approved </w:t>
      </w:r>
      <w:r w:rsidRPr="008E1D6C">
        <w:rPr>
          <w:rStyle w:val="Strong"/>
          <w:b w:val="0"/>
        </w:rPr>
        <w:t>for dual credit offering.</w:t>
      </w:r>
    </w:p>
    <w:p w14:paraId="5B2EC1D2" w14:textId="77777777" w:rsidR="003D6685" w:rsidRPr="003D6685" w:rsidRDefault="008E1D6C" w:rsidP="00A63272">
      <w:pPr>
        <w:pStyle w:val="ListParagraph"/>
        <w:numPr>
          <w:ilvl w:val="0"/>
          <w:numId w:val="8"/>
        </w:numPr>
        <w:rPr>
          <w:rStyle w:val="Strong"/>
        </w:rPr>
      </w:pPr>
      <w:r w:rsidRPr="008E1D6C">
        <w:rPr>
          <w:rStyle w:val="Strong"/>
          <w:b w:val="0"/>
        </w:rPr>
        <w:t xml:space="preserve">Students enrolled through the High School Dual Credit program receive a reduced tuition rate, which is one-third of the reduced rate of the course as established by the Board of Regents in its Tuition and Fee Schedule. No additional course level fees </w:t>
      </w:r>
      <w:r w:rsidRPr="008E1D6C">
        <w:rPr>
          <w:rStyle w:val="Strong"/>
          <w:b w:val="0"/>
        </w:rPr>
        <w:lastRenderedPageBreak/>
        <w:t>(e.g., lab fee, program fee, discipline fee, laptop fee, delivery fee, etc.) will be assessed to students enrolled in th</w:t>
      </w:r>
      <w:r w:rsidR="00A63272">
        <w:rPr>
          <w:rStyle w:val="Strong"/>
          <w:b w:val="0"/>
        </w:rPr>
        <w:t>is</w:t>
      </w:r>
      <w:r w:rsidRPr="008E1D6C">
        <w:rPr>
          <w:rStyle w:val="Strong"/>
          <w:b w:val="0"/>
        </w:rPr>
        <w:t xml:space="preserve"> program. The e-text fee may be assessed to those students if this is a requirement for the course. Students shall cover all instructional costs associated with the courses they are enrolled in each semester including but not limited to course materials, texts, and related instructional supplies. The student is ultimately responsible for obtaining all required textbooks and supplies necessary to complete the course.</w:t>
      </w:r>
    </w:p>
    <w:p w14:paraId="6A0A56EE" w14:textId="390DA2E3" w:rsidR="00994C89" w:rsidRDefault="00994C89" w:rsidP="003D6685">
      <w:pPr>
        <w:rPr>
          <w:rStyle w:val="Strong"/>
        </w:rPr>
      </w:pPr>
      <w:r>
        <w:rPr>
          <w:rStyle w:val="Strong"/>
        </w:rPr>
        <w:t xml:space="preserve">Administration of </w:t>
      </w:r>
      <w:r w:rsidR="00503C76">
        <w:rPr>
          <w:rStyle w:val="Strong"/>
        </w:rPr>
        <w:t>Course Offerings</w:t>
      </w:r>
    </w:p>
    <w:p w14:paraId="1953A95E" w14:textId="5454435E" w:rsidR="00145B55" w:rsidRDefault="00994C89" w:rsidP="0075004E">
      <w:pPr>
        <w:pStyle w:val="NormalWeb"/>
        <w:spacing w:before="0" w:beforeAutospacing="0" w:after="0" w:afterAutospacing="0"/>
        <w:rPr>
          <w:rStyle w:val="Strong"/>
          <w:b w:val="0"/>
        </w:rPr>
      </w:pPr>
      <w:r w:rsidRPr="00994C89">
        <w:rPr>
          <w:rStyle w:val="Strong"/>
          <w:b w:val="0"/>
        </w:rPr>
        <w:t>This section of the MOU sets forth the commitments of each party to develop and deliver</w:t>
      </w:r>
      <w:r w:rsidR="00B47C97">
        <w:rPr>
          <w:rStyle w:val="Strong"/>
          <w:b w:val="0"/>
        </w:rPr>
        <w:t xml:space="preserve"> courses as in-district high school dual credit </w:t>
      </w:r>
      <w:r w:rsidR="00007A5F">
        <w:rPr>
          <w:rStyle w:val="Strong"/>
          <w:b w:val="0"/>
        </w:rPr>
        <w:t>and/</w:t>
      </w:r>
      <w:r w:rsidR="00B47C97">
        <w:rPr>
          <w:rStyle w:val="Strong"/>
          <w:b w:val="0"/>
        </w:rPr>
        <w:t>or concurrent credit</w:t>
      </w:r>
      <w:r w:rsidR="00F766DF">
        <w:rPr>
          <w:rStyle w:val="Strong"/>
          <w:b w:val="0"/>
        </w:rPr>
        <w:t xml:space="preserve"> courses.</w:t>
      </w:r>
      <w:r>
        <w:rPr>
          <w:rStyle w:val="Strong"/>
          <w:b w:val="0"/>
        </w:rPr>
        <w:t xml:space="preserve"> </w:t>
      </w:r>
    </w:p>
    <w:p w14:paraId="44747C9C" w14:textId="77777777" w:rsidR="00BC1CA8" w:rsidRDefault="00BC1CA8" w:rsidP="0075004E">
      <w:pPr>
        <w:pStyle w:val="NormalWeb"/>
        <w:spacing w:before="0" w:beforeAutospacing="0" w:after="0" w:afterAutospacing="0"/>
        <w:rPr>
          <w:rStyle w:val="Strong"/>
          <w:b w:val="0"/>
        </w:rPr>
      </w:pPr>
    </w:p>
    <w:p w14:paraId="3936F19B" w14:textId="2FADD453" w:rsidR="008E2CE5" w:rsidRPr="00267CDE" w:rsidRDefault="007D5422" w:rsidP="00267CDE">
      <w:pPr>
        <w:pStyle w:val="NormalWeb"/>
        <w:spacing w:before="0" w:beforeAutospacing="0" w:after="0" w:afterAutospacing="0"/>
        <w:contextualSpacing/>
        <w:rPr>
          <w:rStyle w:val="Strong"/>
          <w:u w:val="single"/>
        </w:rPr>
      </w:pPr>
      <w:r w:rsidRPr="00267CDE">
        <w:rPr>
          <w:rStyle w:val="Strong"/>
          <w:b w:val="0"/>
          <w:u w:val="single"/>
        </w:rPr>
        <w:t>In-District Dual Credit</w:t>
      </w:r>
    </w:p>
    <w:p w14:paraId="3AB748F9" w14:textId="77777777" w:rsidR="001162E7" w:rsidRPr="00267CDE" w:rsidRDefault="001162E7" w:rsidP="00267CDE">
      <w:pPr>
        <w:pStyle w:val="NormalWeb"/>
        <w:spacing w:before="0" w:beforeAutospacing="0" w:after="0" w:afterAutospacing="0"/>
        <w:ind w:left="720"/>
        <w:contextualSpacing/>
        <w:rPr>
          <w:b/>
          <w:bCs/>
        </w:rPr>
      </w:pPr>
    </w:p>
    <w:p w14:paraId="012AAEA0" w14:textId="5D9F1A50" w:rsidR="001162E7" w:rsidRDefault="008E2CE5" w:rsidP="001162E7">
      <w:pPr>
        <w:pStyle w:val="NormalWeb"/>
        <w:spacing w:before="0" w:beforeAutospacing="0" w:after="0" w:afterAutospacing="0"/>
        <w:ind w:left="360"/>
        <w:contextualSpacing/>
        <w:rPr>
          <w:bCs/>
        </w:rPr>
      </w:pPr>
      <w:r w:rsidRPr="007E10C8">
        <w:rPr>
          <w:bCs/>
        </w:rPr>
        <w:t xml:space="preserve">The in-district delivery of courses through the South Dakota High School Dual Credit (HSDC) program </w:t>
      </w:r>
      <w:r>
        <w:rPr>
          <w:bCs/>
        </w:rPr>
        <w:t xml:space="preserve">established </w:t>
      </w:r>
      <w:r w:rsidRPr="007E10C8">
        <w:rPr>
          <w:bCs/>
        </w:rPr>
        <w:t>in SDCL 12-28-37.1</w:t>
      </w:r>
      <w:r>
        <w:rPr>
          <w:bCs/>
        </w:rPr>
        <w:t xml:space="preserve"> allows </w:t>
      </w:r>
      <w:r w:rsidRPr="00FF4DDC">
        <w:rPr>
          <w:bCs/>
        </w:rPr>
        <w:t xml:space="preserve">eligible high school students </w:t>
      </w:r>
      <w:r>
        <w:rPr>
          <w:bCs/>
        </w:rPr>
        <w:t xml:space="preserve">to complete </w:t>
      </w:r>
      <w:r w:rsidRPr="00FF4DDC">
        <w:rPr>
          <w:bCs/>
        </w:rPr>
        <w:t xml:space="preserve">courses offered by </w:t>
      </w:r>
      <w:r>
        <w:rPr>
          <w:bCs/>
        </w:rPr>
        <w:t xml:space="preserve">DSU faculty members. Such courses are governed by SDBOR </w:t>
      </w:r>
      <w:r w:rsidRPr="00FF4DDC">
        <w:rPr>
          <w:bCs/>
        </w:rPr>
        <w:t xml:space="preserve">policies and follow established processes for admissions, registration, billing and grade reporting. </w:t>
      </w:r>
      <w:r w:rsidR="00A63272">
        <w:rPr>
          <w:bCs/>
        </w:rPr>
        <w:t>OGH</w:t>
      </w:r>
      <w:r>
        <w:rPr>
          <w:bCs/>
        </w:rPr>
        <w:t xml:space="preserve"> </w:t>
      </w:r>
      <w:r w:rsidRPr="00FF4DDC">
        <w:rPr>
          <w:bCs/>
        </w:rPr>
        <w:t>agree</w:t>
      </w:r>
      <w:r>
        <w:rPr>
          <w:bCs/>
        </w:rPr>
        <w:t>s</w:t>
      </w:r>
      <w:r w:rsidRPr="00FF4DDC">
        <w:rPr>
          <w:bCs/>
        </w:rPr>
        <w:t xml:space="preserve"> to record dual credit coursework on the student’s transcript and use it to calculate academic standing.</w:t>
      </w:r>
      <w:r w:rsidR="001162E7">
        <w:rPr>
          <w:bCs/>
        </w:rPr>
        <w:tab/>
      </w:r>
    </w:p>
    <w:p w14:paraId="696E7B27" w14:textId="77777777" w:rsidR="001162E7" w:rsidRPr="007E10C8" w:rsidRDefault="001162E7" w:rsidP="008E2CE5">
      <w:pPr>
        <w:pStyle w:val="NormalWeb"/>
        <w:spacing w:before="0" w:beforeAutospacing="0" w:after="0" w:afterAutospacing="0"/>
        <w:ind w:left="360"/>
        <w:contextualSpacing/>
        <w:rPr>
          <w:bCs/>
        </w:rPr>
      </w:pPr>
    </w:p>
    <w:p w14:paraId="4091B464" w14:textId="32D8E1B9" w:rsidR="001162E7" w:rsidRDefault="008E2CE5" w:rsidP="001162E7">
      <w:pPr>
        <w:pStyle w:val="NormalWeb"/>
        <w:spacing w:before="0" w:beforeAutospacing="0" w:after="0" w:afterAutospacing="0"/>
        <w:contextualSpacing/>
      </w:pPr>
      <w:r w:rsidRPr="00267CDE">
        <w:t>Authority</w:t>
      </w:r>
    </w:p>
    <w:p w14:paraId="01F37F22" w14:textId="766962E9" w:rsidR="001162E7" w:rsidRPr="001162E7" w:rsidRDefault="008E2CE5" w:rsidP="00267CDE">
      <w:pPr>
        <w:pStyle w:val="NormalWeb"/>
        <w:numPr>
          <w:ilvl w:val="0"/>
          <w:numId w:val="14"/>
        </w:numPr>
        <w:spacing w:before="0" w:beforeAutospacing="0" w:after="0" w:afterAutospacing="0"/>
        <w:contextualSpacing/>
      </w:pPr>
      <w:r w:rsidRPr="001162E7">
        <w:t>All current and applicable SDBOR and DSU policies, guidelines and procedures apply to all course offerings and enrollment</w:t>
      </w:r>
      <w:r w:rsidRPr="001162E7">
        <w:rPr>
          <w:spacing w:val="-11"/>
        </w:rPr>
        <w:t xml:space="preserve"> </w:t>
      </w:r>
      <w:r w:rsidRPr="001162E7">
        <w:t>requirements unless a specific exemption has been approved by the SDBOR.</w:t>
      </w:r>
    </w:p>
    <w:p w14:paraId="3AD16989" w14:textId="7DA29C67" w:rsidR="008E2CE5" w:rsidRPr="001162E7" w:rsidRDefault="008E2CE5" w:rsidP="00267CDE">
      <w:pPr>
        <w:pStyle w:val="ListParagraph"/>
        <w:widowControl w:val="0"/>
        <w:numPr>
          <w:ilvl w:val="1"/>
          <w:numId w:val="14"/>
        </w:numPr>
        <w:tabs>
          <w:tab w:val="left" w:pos="1900"/>
          <w:tab w:val="left" w:pos="1901"/>
        </w:tabs>
        <w:autoSpaceDE w:val="0"/>
        <w:autoSpaceDN w:val="0"/>
        <w:spacing w:after="0"/>
      </w:pPr>
      <w:r w:rsidRPr="001162E7">
        <w:t>DSU academic departments, faculty and/or personnel will determine the textbooks and course materials required for each</w:t>
      </w:r>
      <w:r w:rsidRPr="001162E7">
        <w:rPr>
          <w:spacing w:val="-8"/>
        </w:rPr>
        <w:t xml:space="preserve"> </w:t>
      </w:r>
      <w:r w:rsidRPr="001162E7">
        <w:t>course.</w:t>
      </w:r>
    </w:p>
    <w:p w14:paraId="0ECA760D" w14:textId="047210ED" w:rsidR="008E2CE5" w:rsidRPr="001162E7" w:rsidRDefault="00A63272" w:rsidP="00267CDE">
      <w:pPr>
        <w:pStyle w:val="ListParagraph"/>
        <w:widowControl w:val="0"/>
        <w:numPr>
          <w:ilvl w:val="1"/>
          <w:numId w:val="14"/>
        </w:numPr>
        <w:tabs>
          <w:tab w:val="left" w:pos="1900"/>
          <w:tab w:val="left" w:pos="1901"/>
        </w:tabs>
        <w:autoSpaceDE w:val="0"/>
        <w:autoSpaceDN w:val="0"/>
        <w:spacing w:after="0"/>
      </w:pPr>
      <w:r>
        <w:t>OGH</w:t>
      </w:r>
      <w:r w:rsidR="008E2CE5" w:rsidRPr="001162E7">
        <w:t xml:space="preserve"> accepts responsibility for providing appropriate facilities, equipment and technology to deliver university courses in a manner that meets university standards.</w:t>
      </w:r>
    </w:p>
    <w:p w14:paraId="4506AB37" w14:textId="078A9B84" w:rsidR="008E2CE5" w:rsidRPr="00267CDE" w:rsidRDefault="008E2CE5" w:rsidP="00267CDE">
      <w:pPr>
        <w:pStyle w:val="Heading1"/>
        <w:numPr>
          <w:ilvl w:val="0"/>
          <w:numId w:val="14"/>
        </w:numPr>
        <w:tabs>
          <w:tab w:val="left" w:pos="1540"/>
          <w:tab w:val="left" w:pos="1541"/>
        </w:tabs>
        <w:contextualSpacing/>
        <w:rPr>
          <w:rFonts w:ascii="Times New Roman" w:hAnsi="Times New Roman" w:cs="Times New Roman"/>
          <w:b w:val="0"/>
          <w:sz w:val="24"/>
          <w:szCs w:val="24"/>
        </w:rPr>
      </w:pPr>
      <w:r w:rsidRPr="00267CDE">
        <w:rPr>
          <w:rFonts w:ascii="Times New Roman" w:hAnsi="Times New Roman" w:cs="Times New Roman"/>
          <w:b w:val="0"/>
          <w:sz w:val="24"/>
          <w:szCs w:val="24"/>
        </w:rPr>
        <w:t>Enrollment</w:t>
      </w:r>
    </w:p>
    <w:p w14:paraId="2BE329C9" w14:textId="669000E6" w:rsidR="008E2CE5" w:rsidRPr="001162E7" w:rsidRDefault="008E2CE5" w:rsidP="00267CDE">
      <w:pPr>
        <w:pStyle w:val="ListParagraph"/>
        <w:widowControl w:val="0"/>
        <w:numPr>
          <w:ilvl w:val="1"/>
          <w:numId w:val="14"/>
        </w:numPr>
        <w:tabs>
          <w:tab w:val="left" w:pos="1901"/>
        </w:tabs>
        <w:autoSpaceDE w:val="0"/>
        <w:autoSpaceDN w:val="0"/>
        <w:spacing w:after="0"/>
        <w:jc w:val="both"/>
      </w:pPr>
      <w:r w:rsidRPr="001162E7">
        <w:t xml:space="preserve">DSU will determine the maximum/minimum enrollment for </w:t>
      </w:r>
      <w:r w:rsidR="00A752B4">
        <w:t xml:space="preserve">the </w:t>
      </w:r>
      <w:r w:rsidRPr="001162E7">
        <w:t xml:space="preserve">in compliance with guidelines and policies established by the SDBOR, and with input from </w:t>
      </w:r>
      <w:r w:rsidR="00A63272">
        <w:t>OGH</w:t>
      </w:r>
      <w:r w:rsidRPr="001162E7">
        <w:t>.</w:t>
      </w:r>
      <w:r w:rsidR="007D5422" w:rsidRPr="001162E7">
        <w:t xml:space="preserve"> </w:t>
      </w:r>
    </w:p>
    <w:p w14:paraId="44C6BE77" w14:textId="6538DD52" w:rsidR="008E2CE5" w:rsidRPr="00267CDE" w:rsidRDefault="008E2CE5" w:rsidP="00267CDE">
      <w:pPr>
        <w:pStyle w:val="Heading1"/>
        <w:numPr>
          <w:ilvl w:val="0"/>
          <w:numId w:val="14"/>
        </w:numPr>
        <w:tabs>
          <w:tab w:val="left" w:pos="1540"/>
          <w:tab w:val="left" w:pos="1541"/>
        </w:tabs>
        <w:contextualSpacing/>
        <w:rPr>
          <w:rFonts w:ascii="Times New Roman" w:hAnsi="Times New Roman" w:cs="Times New Roman"/>
          <w:b w:val="0"/>
          <w:sz w:val="24"/>
          <w:szCs w:val="24"/>
        </w:rPr>
      </w:pPr>
      <w:r w:rsidRPr="00267CDE">
        <w:rPr>
          <w:rFonts w:ascii="Times New Roman" w:hAnsi="Times New Roman" w:cs="Times New Roman"/>
          <w:b w:val="0"/>
          <w:sz w:val="24"/>
          <w:szCs w:val="24"/>
        </w:rPr>
        <w:t>Tuition and course</w:t>
      </w:r>
      <w:r w:rsidRPr="00267CDE">
        <w:rPr>
          <w:rFonts w:ascii="Times New Roman" w:hAnsi="Times New Roman" w:cs="Times New Roman"/>
          <w:b w:val="0"/>
          <w:spacing w:val="-6"/>
          <w:sz w:val="24"/>
          <w:szCs w:val="24"/>
        </w:rPr>
        <w:t xml:space="preserve"> </w:t>
      </w:r>
      <w:r w:rsidRPr="00267CDE">
        <w:rPr>
          <w:rFonts w:ascii="Times New Roman" w:hAnsi="Times New Roman" w:cs="Times New Roman"/>
          <w:b w:val="0"/>
          <w:sz w:val="24"/>
          <w:szCs w:val="24"/>
        </w:rPr>
        <w:t>materials</w:t>
      </w:r>
    </w:p>
    <w:p w14:paraId="1785A8C9" w14:textId="40F387F3" w:rsidR="008E2CE5" w:rsidRPr="001162E7" w:rsidRDefault="008E2CE5" w:rsidP="00267CDE">
      <w:pPr>
        <w:pStyle w:val="ListParagraph"/>
        <w:widowControl w:val="0"/>
        <w:numPr>
          <w:ilvl w:val="1"/>
          <w:numId w:val="14"/>
        </w:numPr>
        <w:tabs>
          <w:tab w:val="left" w:pos="1900"/>
          <w:tab w:val="left" w:pos="1901"/>
        </w:tabs>
        <w:autoSpaceDE w:val="0"/>
        <w:autoSpaceDN w:val="0"/>
        <w:spacing w:after="0"/>
      </w:pPr>
      <w:r w:rsidRPr="001162E7">
        <w:t xml:space="preserve">Applicable tuition rates will be determined by SDBOR and/or DSU policy and legislative requirements, with the </w:t>
      </w:r>
      <w:r w:rsidR="00141893">
        <w:t>student</w:t>
      </w:r>
      <w:r w:rsidR="00A60664">
        <w:t>s r</w:t>
      </w:r>
      <w:r w:rsidRPr="001162E7">
        <w:t>esponsible for payment of tuition</w:t>
      </w:r>
      <w:r w:rsidR="00EA1A84">
        <w:t xml:space="preserve"> </w:t>
      </w:r>
      <w:r w:rsidR="007B5426">
        <w:t xml:space="preserve">for </w:t>
      </w:r>
      <w:r w:rsidRPr="001162E7">
        <w:t xml:space="preserve"> university courses offered as part of the in-district delivery.</w:t>
      </w:r>
    </w:p>
    <w:p w14:paraId="7DA8DA6B" w14:textId="5CE11C59" w:rsidR="008E2CE5" w:rsidRPr="001162E7" w:rsidRDefault="00A63272" w:rsidP="00267CDE">
      <w:pPr>
        <w:pStyle w:val="ListParagraph"/>
        <w:widowControl w:val="0"/>
        <w:numPr>
          <w:ilvl w:val="1"/>
          <w:numId w:val="14"/>
        </w:numPr>
        <w:tabs>
          <w:tab w:val="left" w:pos="1900"/>
          <w:tab w:val="left" w:pos="1901"/>
        </w:tabs>
        <w:autoSpaceDE w:val="0"/>
        <w:autoSpaceDN w:val="0"/>
        <w:spacing w:after="0"/>
      </w:pPr>
      <w:r>
        <w:t>OGH</w:t>
      </w:r>
      <w:r w:rsidR="008E2CE5" w:rsidRPr="001162E7">
        <w:t xml:space="preserve"> will be responsible for the purchase of textbooks and materials required for each course, to be determined by the school district.</w:t>
      </w:r>
    </w:p>
    <w:p w14:paraId="64B1D3E8" w14:textId="77777777" w:rsidR="003D6685" w:rsidRDefault="003D6685" w:rsidP="0075004E">
      <w:pPr>
        <w:pStyle w:val="NormalWeb"/>
        <w:spacing w:before="0" w:beforeAutospacing="0" w:after="0" w:afterAutospacing="0"/>
        <w:rPr>
          <w:rStyle w:val="Strong"/>
        </w:rPr>
      </w:pPr>
    </w:p>
    <w:p w14:paraId="7D2607B0" w14:textId="50158590" w:rsidR="00627A35" w:rsidRDefault="00627A35" w:rsidP="0075004E">
      <w:pPr>
        <w:pStyle w:val="NormalWeb"/>
        <w:spacing w:before="0" w:beforeAutospacing="0" w:after="0" w:afterAutospacing="0"/>
        <w:rPr>
          <w:rStyle w:val="Strong"/>
        </w:rPr>
      </w:pPr>
      <w:r>
        <w:rPr>
          <w:rStyle w:val="Strong"/>
        </w:rPr>
        <w:t>Point of Contact for Each Partner</w:t>
      </w:r>
    </w:p>
    <w:p w14:paraId="67E2F4F1" w14:textId="77777777" w:rsidR="003D6685" w:rsidRDefault="003D6685" w:rsidP="00627A35">
      <w:pPr>
        <w:pStyle w:val="NoSpacing"/>
        <w:rPr>
          <w:rStyle w:val="Strong"/>
          <w:b w:val="0"/>
        </w:rPr>
      </w:pPr>
    </w:p>
    <w:p w14:paraId="1927D0D5" w14:textId="68651643" w:rsidR="005D7062" w:rsidRDefault="00627A35" w:rsidP="003D6685">
      <w:pPr>
        <w:pStyle w:val="NoSpacing"/>
        <w:rPr>
          <w:rStyle w:val="Strong"/>
          <w:b w:val="0"/>
        </w:rPr>
      </w:pPr>
      <w:r>
        <w:rPr>
          <w:rStyle w:val="Strong"/>
          <w:b w:val="0"/>
        </w:rPr>
        <w:t xml:space="preserve">Dr. </w:t>
      </w:r>
      <w:r w:rsidR="003D6685">
        <w:rPr>
          <w:rStyle w:val="Strong"/>
          <w:b w:val="0"/>
        </w:rPr>
        <w:t>Pat Engebretson</w:t>
      </w:r>
      <w:r>
        <w:rPr>
          <w:rStyle w:val="Strong"/>
          <w:b w:val="0"/>
        </w:rPr>
        <w:t>, Dean, The Beacom College of Computer and Cyber Sciences</w:t>
      </w:r>
      <w:r w:rsidR="00A752B4">
        <w:rPr>
          <w:rStyle w:val="Strong"/>
          <w:b w:val="0"/>
        </w:rPr>
        <w:t xml:space="preserve"> and </w:t>
      </w:r>
      <w:r w:rsidR="003D6685" w:rsidRPr="003D6685">
        <w:rPr>
          <w:rStyle w:val="Strong"/>
          <w:b w:val="0"/>
        </w:rPr>
        <w:t>Brenda Mitzel  Ed. S.</w:t>
      </w:r>
      <w:r w:rsidR="00A752B4">
        <w:rPr>
          <w:rStyle w:val="Strong"/>
          <w:b w:val="0"/>
        </w:rPr>
        <w:t xml:space="preserve">, </w:t>
      </w:r>
      <w:r w:rsidR="003D6685" w:rsidRPr="003D6685">
        <w:rPr>
          <w:rStyle w:val="Strong"/>
          <w:b w:val="0"/>
        </w:rPr>
        <w:t>Director of Instruction and Programs</w:t>
      </w:r>
      <w:r w:rsidR="00A752B4">
        <w:rPr>
          <w:rStyle w:val="Strong"/>
          <w:b w:val="0"/>
        </w:rPr>
        <w:t xml:space="preserve">, </w:t>
      </w:r>
      <w:r w:rsidR="003D6685" w:rsidRPr="003D6685">
        <w:rPr>
          <w:rStyle w:val="Strong"/>
          <w:b w:val="0"/>
        </w:rPr>
        <w:t>Bishop O'Gorman Catholic Schools</w:t>
      </w:r>
      <w:r w:rsidR="00A752B4">
        <w:rPr>
          <w:rStyle w:val="Strong"/>
          <w:b w:val="0"/>
        </w:rPr>
        <w:t>.</w:t>
      </w:r>
    </w:p>
    <w:p w14:paraId="5B20AD26" w14:textId="77777777" w:rsidR="00A752B4" w:rsidRDefault="00A752B4" w:rsidP="003D6685">
      <w:pPr>
        <w:pStyle w:val="NoSpacing"/>
        <w:rPr>
          <w:rStyle w:val="Strong"/>
          <w:bCs w:val="0"/>
        </w:rPr>
      </w:pPr>
    </w:p>
    <w:p w14:paraId="29AEF1D9" w14:textId="0913E40E" w:rsidR="003D6685" w:rsidRDefault="003D6685" w:rsidP="003D6685">
      <w:pPr>
        <w:pStyle w:val="NoSpacing"/>
        <w:rPr>
          <w:rStyle w:val="Strong"/>
          <w:bCs w:val="0"/>
        </w:rPr>
      </w:pPr>
      <w:r w:rsidRPr="00A752B4">
        <w:rPr>
          <w:rStyle w:val="Strong"/>
          <w:bCs w:val="0"/>
        </w:rPr>
        <w:lastRenderedPageBreak/>
        <w:t xml:space="preserve">Agreement Signatures </w:t>
      </w:r>
    </w:p>
    <w:p w14:paraId="604ABA96" w14:textId="77777777" w:rsidR="00A752B4" w:rsidRPr="00A752B4" w:rsidRDefault="00A752B4" w:rsidP="003D6685">
      <w:pPr>
        <w:pStyle w:val="NoSpacing"/>
        <w:rPr>
          <w:rStyle w:val="Strong"/>
          <w:bCs w:val="0"/>
        </w:rPr>
      </w:pPr>
    </w:p>
    <w:p w14:paraId="72CE0982" w14:textId="77777777" w:rsidR="005D7062" w:rsidRPr="00627A35" w:rsidRDefault="005D7062" w:rsidP="00627A35">
      <w:pPr>
        <w:pStyle w:val="NoSpacing"/>
        <w:rPr>
          <w:rStyle w:val="Strong"/>
          <w:b w:val="0"/>
        </w:rPr>
      </w:pPr>
    </w:p>
    <w:p w14:paraId="1A476DBA" w14:textId="41797819" w:rsidR="0075004E" w:rsidRDefault="0075004E" w:rsidP="0075004E">
      <w:pPr>
        <w:pStyle w:val="NormalWeb"/>
        <w:tabs>
          <w:tab w:val="left" w:leader="underscore" w:pos="2880"/>
        </w:tabs>
        <w:spacing w:before="0" w:beforeAutospacing="0" w:after="0" w:afterAutospacing="0"/>
      </w:pPr>
      <w:r w:rsidRPr="001A3EC8">
        <w:tab/>
      </w:r>
      <w:r w:rsidR="003D6685">
        <w:t>_______</w:t>
      </w:r>
    </w:p>
    <w:p w14:paraId="6604FEF1" w14:textId="2E07978A" w:rsidR="003D6685" w:rsidRPr="003D6685" w:rsidRDefault="003D6685" w:rsidP="003D6685">
      <w:pPr>
        <w:pStyle w:val="NoSpacing"/>
        <w:rPr>
          <w:rStyle w:val="Strong"/>
          <w:b w:val="0"/>
        </w:rPr>
      </w:pPr>
      <w:r w:rsidRPr="003D6685">
        <w:rPr>
          <w:rStyle w:val="Strong"/>
          <w:b w:val="0"/>
        </w:rPr>
        <w:t>Brenda Mitzel  Ed. S.</w:t>
      </w:r>
      <w:r>
        <w:rPr>
          <w:rStyle w:val="Strong"/>
          <w:b w:val="0"/>
        </w:rPr>
        <w:tab/>
      </w:r>
      <w:r>
        <w:rPr>
          <w:rStyle w:val="Strong"/>
          <w:b w:val="0"/>
        </w:rPr>
        <w:tab/>
        <w:t>Date</w:t>
      </w:r>
    </w:p>
    <w:p w14:paraId="68B54568" w14:textId="76156F88" w:rsidR="003D6685" w:rsidRDefault="003D6685" w:rsidP="003D6685">
      <w:pPr>
        <w:pStyle w:val="NoSpacing"/>
        <w:rPr>
          <w:rStyle w:val="Strong"/>
          <w:b w:val="0"/>
        </w:rPr>
      </w:pPr>
      <w:r w:rsidRPr="003D6685">
        <w:rPr>
          <w:rStyle w:val="Strong"/>
          <w:b w:val="0"/>
        </w:rPr>
        <w:t>Director of Instruction and Programs</w:t>
      </w:r>
    </w:p>
    <w:p w14:paraId="2F649DE8" w14:textId="5EB86B19" w:rsidR="003D6685" w:rsidRDefault="003D6685" w:rsidP="003D6685">
      <w:pPr>
        <w:pStyle w:val="NoSpacing"/>
        <w:rPr>
          <w:rStyle w:val="Strong"/>
          <w:b w:val="0"/>
        </w:rPr>
      </w:pPr>
      <w:r>
        <w:rPr>
          <w:rStyle w:val="Strong"/>
          <w:b w:val="0"/>
        </w:rPr>
        <w:t>O’Gorman High School</w:t>
      </w:r>
    </w:p>
    <w:p w14:paraId="63F17945" w14:textId="41C62814" w:rsidR="003D6685" w:rsidRDefault="003D6685" w:rsidP="003D6685">
      <w:pPr>
        <w:pStyle w:val="NoSpacing"/>
        <w:rPr>
          <w:rStyle w:val="Strong"/>
          <w:b w:val="0"/>
        </w:rPr>
      </w:pPr>
    </w:p>
    <w:p w14:paraId="19DB0062" w14:textId="77777777" w:rsidR="003D6685" w:rsidRDefault="003D6685" w:rsidP="003D6685">
      <w:pPr>
        <w:pStyle w:val="NormalWeb"/>
        <w:tabs>
          <w:tab w:val="left" w:leader="underscore" w:pos="2880"/>
        </w:tabs>
        <w:spacing w:before="0" w:beforeAutospacing="0" w:after="0" w:afterAutospacing="0"/>
      </w:pPr>
      <w:r w:rsidRPr="001A3EC8">
        <w:tab/>
      </w:r>
      <w:r>
        <w:t>_______</w:t>
      </w:r>
    </w:p>
    <w:p w14:paraId="01AA7836" w14:textId="6081FB52" w:rsidR="003D6685" w:rsidRPr="003D6685" w:rsidRDefault="003D6685" w:rsidP="003D6685">
      <w:pPr>
        <w:pStyle w:val="NoSpacing"/>
        <w:rPr>
          <w:rStyle w:val="Strong"/>
          <w:b w:val="0"/>
        </w:rPr>
      </w:pPr>
      <w:r>
        <w:rPr>
          <w:rStyle w:val="Strong"/>
          <w:b w:val="0"/>
        </w:rPr>
        <w:tab/>
      </w:r>
      <w:r>
        <w:rPr>
          <w:rStyle w:val="Strong"/>
          <w:b w:val="0"/>
        </w:rPr>
        <w:tab/>
      </w:r>
      <w:r>
        <w:rPr>
          <w:rStyle w:val="Strong"/>
          <w:b w:val="0"/>
        </w:rPr>
        <w:tab/>
      </w:r>
      <w:r>
        <w:rPr>
          <w:rStyle w:val="Strong"/>
          <w:b w:val="0"/>
        </w:rPr>
        <w:tab/>
        <w:t>Date</w:t>
      </w:r>
    </w:p>
    <w:p w14:paraId="03D26379" w14:textId="5C517462" w:rsidR="003D6685" w:rsidRDefault="003D6685" w:rsidP="003D6685">
      <w:pPr>
        <w:pStyle w:val="NoSpacing"/>
        <w:rPr>
          <w:rStyle w:val="Strong"/>
          <w:b w:val="0"/>
        </w:rPr>
      </w:pPr>
      <w:r>
        <w:rPr>
          <w:rStyle w:val="Strong"/>
          <w:b w:val="0"/>
        </w:rPr>
        <w:t>Principal</w:t>
      </w:r>
    </w:p>
    <w:p w14:paraId="393EC0BF" w14:textId="0E232FC5" w:rsidR="003D6685" w:rsidRDefault="003D6685" w:rsidP="003D6685">
      <w:pPr>
        <w:pStyle w:val="NoSpacing"/>
        <w:rPr>
          <w:rStyle w:val="Strong"/>
          <w:b w:val="0"/>
        </w:rPr>
      </w:pPr>
      <w:r>
        <w:rPr>
          <w:rStyle w:val="Strong"/>
          <w:b w:val="0"/>
        </w:rPr>
        <w:t>O’Gorman High School</w:t>
      </w:r>
    </w:p>
    <w:p w14:paraId="76EC4359" w14:textId="60E0A2AB" w:rsidR="00A752B4" w:rsidRDefault="00A752B4" w:rsidP="003D6685">
      <w:pPr>
        <w:pStyle w:val="NoSpacing"/>
        <w:rPr>
          <w:rStyle w:val="Strong"/>
          <w:b w:val="0"/>
        </w:rPr>
      </w:pPr>
    </w:p>
    <w:p w14:paraId="76B5B808" w14:textId="77777777" w:rsidR="00A752B4" w:rsidRDefault="00A752B4" w:rsidP="00A752B4">
      <w:pPr>
        <w:pStyle w:val="NormalWeb"/>
        <w:tabs>
          <w:tab w:val="left" w:leader="underscore" w:pos="2880"/>
        </w:tabs>
        <w:spacing w:before="0" w:beforeAutospacing="0" w:after="0" w:afterAutospacing="0"/>
      </w:pPr>
      <w:r w:rsidRPr="001A3EC8">
        <w:tab/>
      </w:r>
      <w:r>
        <w:t>_______</w:t>
      </w:r>
    </w:p>
    <w:p w14:paraId="34620DA8" w14:textId="016AE976" w:rsidR="00A752B4" w:rsidRPr="003D6685" w:rsidRDefault="00A752B4" w:rsidP="00A752B4">
      <w:pPr>
        <w:pStyle w:val="NoSpacing"/>
        <w:rPr>
          <w:rStyle w:val="Strong"/>
          <w:b w:val="0"/>
        </w:rPr>
      </w:pPr>
      <w:r>
        <w:rPr>
          <w:rStyle w:val="Strong"/>
          <w:b w:val="0"/>
        </w:rPr>
        <w:t>Pat Engebretson, DSc.</w:t>
      </w:r>
      <w:r>
        <w:rPr>
          <w:rStyle w:val="Strong"/>
          <w:b w:val="0"/>
        </w:rPr>
        <w:tab/>
      </w:r>
      <w:r>
        <w:rPr>
          <w:rStyle w:val="Strong"/>
          <w:b w:val="0"/>
        </w:rPr>
        <w:tab/>
        <w:t>Date</w:t>
      </w:r>
    </w:p>
    <w:p w14:paraId="5443E203" w14:textId="36B03EC8" w:rsidR="00A752B4" w:rsidRDefault="00A752B4" w:rsidP="00A752B4">
      <w:pPr>
        <w:pStyle w:val="NoSpacing"/>
        <w:rPr>
          <w:rStyle w:val="Strong"/>
          <w:b w:val="0"/>
        </w:rPr>
      </w:pPr>
      <w:r>
        <w:rPr>
          <w:rStyle w:val="Strong"/>
          <w:b w:val="0"/>
        </w:rPr>
        <w:t>Dean</w:t>
      </w:r>
    </w:p>
    <w:p w14:paraId="226550DB" w14:textId="5EA815CC" w:rsidR="00A752B4" w:rsidRDefault="00A752B4" w:rsidP="00A752B4">
      <w:pPr>
        <w:pStyle w:val="NoSpacing"/>
        <w:rPr>
          <w:rStyle w:val="Strong"/>
          <w:b w:val="0"/>
        </w:rPr>
      </w:pPr>
      <w:r>
        <w:rPr>
          <w:rStyle w:val="Strong"/>
          <w:b w:val="0"/>
        </w:rPr>
        <w:t>Beacom College of Computer and Cyber Sciences</w:t>
      </w:r>
    </w:p>
    <w:p w14:paraId="71592D04" w14:textId="2A5D0F6B" w:rsidR="00A752B4" w:rsidRDefault="00A752B4" w:rsidP="00A752B4">
      <w:pPr>
        <w:pStyle w:val="NoSpacing"/>
        <w:rPr>
          <w:rStyle w:val="Strong"/>
          <w:b w:val="0"/>
        </w:rPr>
      </w:pPr>
      <w:r>
        <w:rPr>
          <w:rStyle w:val="Strong"/>
          <w:b w:val="0"/>
        </w:rPr>
        <w:t>Dakota State University</w:t>
      </w:r>
    </w:p>
    <w:p w14:paraId="67C81209" w14:textId="77777777" w:rsidR="00A752B4" w:rsidRDefault="00A752B4" w:rsidP="00A752B4">
      <w:pPr>
        <w:pStyle w:val="NormalWeb"/>
        <w:tabs>
          <w:tab w:val="left" w:leader="underscore" w:pos="2880"/>
        </w:tabs>
        <w:spacing w:before="0" w:beforeAutospacing="0" w:after="0" w:afterAutospacing="0"/>
      </w:pPr>
    </w:p>
    <w:p w14:paraId="62792546" w14:textId="3C280EAF" w:rsidR="00A752B4" w:rsidRDefault="00A752B4" w:rsidP="00A752B4">
      <w:pPr>
        <w:pStyle w:val="NormalWeb"/>
        <w:tabs>
          <w:tab w:val="left" w:leader="underscore" w:pos="2880"/>
        </w:tabs>
        <w:spacing w:before="0" w:beforeAutospacing="0" w:after="0" w:afterAutospacing="0"/>
      </w:pPr>
      <w:r w:rsidRPr="001A3EC8">
        <w:tab/>
      </w:r>
      <w:r>
        <w:t>_______</w:t>
      </w:r>
    </w:p>
    <w:p w14:paraId="5C97EC62" w14:textId="1E63E22D" w:rsidR="00A752B4" w:rsidRPr="003D6685" w:rsidRDefault="00A752B4" w:rsidP="00A752B4">
      <w:pPr>
        <w:pStyle w:val="NoSpacing"/>
        <w:rPr>
          <w:rStyle w:val="Strong"/>
          <w:b w:val="0"/>
        </w:rPr>
      </w:pPr>
      <w:r>
        <w:rPr>
          <w:rStyle w:val="Strong"/>
          <w:b w:val="0"/>
        </w:rPr>
        <w:t>James Moran, Ph.D.</w:t>
      </w:r>
      <w:r>
        <w:rPr>
          <w:rStyle w:val="Strong"/>
          <w:b w:val="0"/>
        </w:rPr>
        <w:tab/>
      </w:r>
      <w:r>
        <w:rPr>
          <w:rStyle w:val="Strong"/>
          <w:b w:val="0"/>
        </w:rPr>
        <w:tab/>
        <w:t>Date</w:t>
      </w:r>
    </w:p>
    <w:p w14:paraId="4B545267" w14:textId="2E7E589F" w:rsidR="00A752B4" w:rsidRDefault="00A752B4" w:rsidP="00A752B4">
      <w:pPr>
        <w:pStyle w:val="NoSpacing"/>
        <w:rPr>
          <w:rStyle w:val="Strong"/>
          <w:b w:val="0"/>
        </w:rPr>
      </w:pPr>
      <w:r>
        <w:rPr>
          <w:rStyle w:val="Strong"/>
          <w:b w:val="0"/>
        </w:rPr>
        <w:t>Provost</w:t>
      </w:r>
    </w:p>
    <w:p w14:paraId="7CEA1B59" w14:textId="37C0CED2" w:rsidR="00A752B4" w:rsidRDefault="00A752B4" w:rsidP="00A752B4">
      <w:pPr>
        <w:pStyle w:val="NoSpacing"/>
        <w:rPr>
          <w:rStyle w:val="Strong"/>
          <w:b w:val="0"/>
        </w:rPr>
      </w:pPr>
      <w:r>
        <w:rPr>
          <w:rStyle w:val="Strong"/>
          <w:b w:val="0"/>
        </w:rPr>
        <w:t>Dakota State University</w:t>
      </w:r>
    </w:p>
    <w:p w14:paraId="4F253BEF" w14:textId="77777777" w:rsidR="00A752B4" w:rsidRDefault="00A752B4" w:rsidP="00A752B4">
      <w:pPr>
        <w:pStyle w:val="NoSpacing"/>
        <w:rPr>
          <w:rStyle w:val="Strong"/>
          <w:b w:val="0"/>
        </w:rPr>
      </w:pPr>
    </w:p>
    <w:p w14:paraId="24CD6558" w14:textId="77777777" w:rsidR="00A752B4" w:rsidRDefault="00A752B4" w:rsidP="003D6685">
      <w:pPr>
        <w:pStyle w:val="NoSpacing"/>
        <w:rPr>
          <w:rStyle w:val="Strong"/>
          <w:b w:val="0"/>
        </w:rPr>
      </w:pPr>
    </w:p>
    <w:p w14:paraId="69FC6333" w14:textId="77777777" w:rsidR="003D6685" w:rsidRDefault="003D6685" w:rsidP="003D6685">
      <w:pPr>
        <w:pStyle w:val="NoSpacing"/>
        <w:rPr>
          <w:rStyle w:val="Strong"/>
          <w:b w:val="0"/>
        </w:rPr>
      </w:pPr>
    </w:p>
    <w:sectPr w:rsidR="003D6685" w:rsidSect="003D6685">
      <w:footerReference w:type="default" r:id="rId8"/>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BCA8" w14:textId="77777777" w:rsidR="005D1F8E" w:rsidRDefault="005D1F8E" w:rsidP="00C96B02">
      <w:pPr>
        <w:spacing w:after="0"/>
      </w:pPr>
      <w:r>
        <w:separator/>
      </w:r>
    </w:p>
  </w:endnote>
  <w:endnote w:type="continuationSeparator" w:id="0">
    <w:p w14:paraId="3C502E00" w14:textId="77777777" w:rsidR="005D1F8E" w:rsidRDefault="005D1F8E" w:rsidP="00C96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88119"/>
      <w:docPartObj>
        <w:docPartGallery w:val="Page Numbers (Bottom of Page)"/>
        <w:docPartUnique/>
      </w:docPartObj>
    </w:sdtPr>
    <w:sdtEndPr>
      <w:rPr>
        <w:noProof/>
      </w:rPr>
    </w:sdtEndPr>
    <w:sdtContent>
      <w:p w14:paraId="66B97A7B" w14:textId="398739D5" w:rsidR="002E279E" w:rsidRDefault="002E279E">
        <w:pPr>
          <w:pStyle w:val="Footer"/>
          <w:jc w:val="right"/>
        </w:pPr>
        <w:r>
          <w:fldChar w:fldCharType="begin"/>
        </w:r>
        <w:r>
          <w:instrText xml:space="preserve"> PAGE   \* MERGEFORMAT </w:instrText>
        </w:r>
        <w:r>
          <w:fldChar w:fldCharType="separate"/>
        </w:r>
        <w:r w:rsidR="000061D0">
          <w:rPr>
            <w:noProof/>
          </w:rPr>
          <w:t>1</w:t>
        </w:r>
        <w:r>
          <w:rPr>
            <w:noProof/>
          </w:rPr>
          <w:fldChar w:fldCharType="end"/>
        </w:r>
      </w:p>
    </w:sdtContent>
  </w:sdt>
  <w:p w14:paraId="00076753" w14:textId="77777777" w:rsidR="002E279E" w:rsidRDefault="002E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4834" w14:textId="77777777" w:rsidR="005D1F8E" w:rsidRDefault="005D1F8E" w:rsidP="00C96B02">
      <w:pPr>
        <w:spacing w:after="0"/>
      </w:pPr>
      <w:r>
        <w:separator/>
      </w:r>
    </w:p>
  </w:footnote>
  <w:footnote w:type="continuationSeparator" w:id="0">
    <w:p w14:paraId="0C7E84CB" w14:textId="77777777" w:rsidR="005D1F8E" w:rsidRDefault="005D1F8E" w:rsidP="00C96B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5D1"/>
    <w:multiLevelType w:val="hybridMultilevel"/>
    <w:tmpl w:val="D6C0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1BA"/>
    <w:multiLevelType w:val="multilevel"/>
    <w:tmpl w:val="E0D86C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71767EF"/>
    <w:multiLevelType w:val="multilevel"/>
    <w:tmpl w:val="287C7F5C"/>
    <w:lvl w:ilvl="0">
      <w:start w:val="1"/>
      <w:numFmt w:val="decimal"/>
      <w:lvlText w:val="%1."/>
      <w:lvlJc w:val="left"/>
      <w:pPr>
        <w:ind w:left="820" w:hanging="360"/>
      </w:pPr>
      <w:rPr>
        <w:rFonts w:ascii="Times New Roman" w:eastAsia="Calibri" w:hAnsi="Times New Roman" w:cs="Times New Roman" w:hint="default"/>
        <w:b/>
        <w:bCs/>
        <w:w w:val="100"/>
        <w:sz w:val="24"/>
        <w:szCs w:val="24"/>
      </w:rPr>
    </w:lvl>
    <w:lvl w:ilvl="1">
      <w:start w:val="1"/>
      <w:numFmt w:val="decimal"/>
      <w:lvlText w:val="%1.%2"/>
      <w:lvlJc w:val="left"/>
      <w:pPr>
        <w:ind w:left="1540" w:hanging="720"/>
      </w:pPr>
      <w:rPr>
        <w:rFonts w:ascii="Times New Roman" w:eastAsia="Calibri" w:hAnsi="Times New Roman" w:cs="Calibri" w:hint="default"/>
        <w:b/>
        <w:bCs/>
        <w:spacing w:val="-2"/>
        <w:w w:val="100"/>
        <w:sz w:val="24"/>
        <w:szCs w:val="22"/>
      </w:rPr>
    </w:lvl>
    <w:lvl w:ilvl="2">
      <w:start w:val="1"/>
      <w:numFmt w:val="decimal"/>
      <w:lvlText w:val="%1.%2.%3"/>
      <w:lvlJc w:val="left"/>
      <w:pPr>
        <w:ind w:left="1900" w:hanging="720"/>
      </w:pPr>
      <w:rPr>
        <w:rFonts w:ascii="Times New Roman" w:eastAsia="Calibri" w:hAnsi="Times New Roman" w:cs="Calibri" w:hint="default"/>
        <w:b/>
        <w:bCs/>
        <w:spacing w:val="-2"/>
        <w:w w:val="100"/>
        <w:sz w:val="24"/>
        <w:szCs w:val="22"/>
      </w:rPr>
    </w:lvl>
    <w:lvl w:ilvl="3">
      <w:numFmt w:val="bullet"/>
      <w:lvlText w:val="•"/>
      <w:lvlJc w:val="left"/>
      <w:pPr>
        <w:ind w:left="1858" w:hanging="720"/>
      </w:pPr>
      <w:rPr>
        <w:rFonts w:hint="default"/>
      </w:rPr>
    </w:lvl>
    <w:lvl w:ilvl="4">
      <w:numFmt w:val="bullet"/>
      <w:lvlText w:val="•"/>
      <w:lvlJc w:val="left"/>
      <w:pPr>
        <w:ind w:left="1817" w:hanging="720"/>
      </w:pPr>
      <w:rPr>
        <w:rFonts w:hint="default"/>
      </w:rPr>
    </w:lvl>
    <w:lvl w:ilvl="5">
      <w:numFmt w:val="bullet"/>
      <w:lvlText w:val="•"/>
      <w:lvlJc w:val="left"/>
      <w:pPr>
        <w:ind w:left="1776" w:hanging="720"/>
      </w:pPr>
      <w:rPr>
        <w:rFonts w:hint="default"/>
      </w:rPr>
    </w:lvl>
    <w:lvl w:ilvl="6">
      <w:numFmt w:val="bullet"/>
      <w:lvlText w:val="•"/>
      <w:lvlJc w:val="left"/>
      <w:pPr>
        <w:ind w:left="1734" w:hanging="720"/>
      </w:pPr>
      <w:rPr>
        <w:rFonts w:hint="default"/>
      </w:rPr>
    </w:lvl>
    <w:lvl w:ilvl="7">
      <w:numFmt w:val="bullet"/>
      <w:lvlText w:val="•"/>
      <w:lvlJc w:val="left"/>
      <w:pPr>
        <w:ind w:left="1693" w:hanging="720"/>
      </w:pPr>
      <w:rPr>
        <w:rFonts w:hint="default"/>
      </w:rPr>
    </w:lvl>
    <w:lvl w:ilvl="8">
      <w:numFmt w:val="bullet"/>
      <w:lvlText w:val="•"/>
      <w:lvlJc w:val="left"/>
      <w:pPr>
        <w:ind w:left="1652" w:hanging="720"/>
      </w:pPr>
      <w:rPr>
        <w:rFonts w:hint="default"/>
      </w:rPr>
    </w:lvl>
  </w:abstractNum>
  <w:abstractNum w:abstractNumId="3" w15:restartNumberingAfterBreak="0">
    <w:nsid w:val="2A152AA5"/>
    <w:multiLevelType w:val="hybridMultilevel"/>
    <w:tmpl w:val="72BAE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A4A63"/>
    <w:multiLevelType w:val="multilevel"/>
    <w:tmpl w:val="500C44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rPr>
    </w:lvl>
    <w:lvl w:ilvl="2">
      <w:start w:val="1"/>
      <w:numFmt w:val="decimal"/>
      <w:lvlText w:val="%1.%2.%3."/>
      <w:lvlJc w:val="left"/>
      <w:pPr>
        <w:ind w:left="2394" w:hanging="504"/>
      </w:pPr>
      <w:rPr>
        <w:rFonts w:hint="default"/>
        <w:b/>
        <w:i w:val="0"/>
      </w:rPr>
    </w:lvl>
    <w:lvl w:ilvl="3">
      <w:start w:val="1"/>
      <w:numFmt w:val="decimal"/>
      <w:suff w:val="space"/>
      <w:lvlText w:val="%1.%2.%3.%4."/>
      <w:lvlJc w:val="left"/>
      <w:pPr>
        <w:ind w:left="1728" w:hanging="648"/>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0E1142"/>
    <w:multiLevelType w:val="hybridMultilevel"/>
    <w:tmpl w:val="692E8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822C45"/>
    <w:multiLevelType w:val="hybridMultilevel"/>
    <w:tmpl w:val="DA544C3E"/>
    <w:lvl w:ilvl="0" w:tplc="E84426E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672E9C"/>
    <w:multiLevelType w:val="multilevel"/>
    <w:tmpl w:val="736A04AC"/>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573F457A"/>
    <w:multiLevelType w:val="hybridMultilevel"/>
    <w:tmpl w:val="16BEDBB2"/>
    <w:lvl w:ilvl="0" w:tplc="1B04C488">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8121B"/>
    <w:multiLevelType w:val="hybridMultilevel"/>
    <w:tmpl w:val="746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B39D6"/>
    <w:multiLevelType w:val="hybridMultilevel"/>
    <w:tmpl w:val="E7147A9E"/>
    <w:lvl w:ilvl="0" w:tplc="A800A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A1713"/>
    <w:multiLevelType w:val="multilevel"/>
    <w:tmpl w:val="1B46A33A"/>
    <w:lvl w:ilvl="0">
      <w:start w:val="1"/>
      <w:numFmt w:val="decimal"/>
      <w:lvlText w:val="%1."/>
      <w:lvlJc w:val="left"/>
      <w:pPr>
        <w:ind w:left="820" w:hanging="360"/>
      </w:pPr>
      <w:rPr>
        <w:rFonts w:ascii="Times New Roman" w:eastAsia="Calibri" w:hAnsi="Times New Roman" w:cs="Times New Roman" w:hint="default"/>
        <w:b/>
        <w:bCs/>
        <w:w w:val="100"/>
        <w:sz w:val="24"/>
        <w:szCs w:val="24"/>
      </w:rPr>
    </w:lvl>
    <w:lvl w:ilvl="1">
      <w:start w:val="1"/>
      <w:numFmt w:val="decimal"/>
      <w:lvlText w:val="%1.%2"/>
      <w:lvlJc w:val="left"/>
      <w:pPr>
        <w:ind w:left="1540" w:hanging="720"/>
      </w:pPr>
      <w:rPr>
        <w:rFonts w:ascii="Times New Roman" w:eastAsia="Calibri" w:hAnsi="Times New Roman" w:cs="Calibri" w:hint="default"/>
        <w:b/>
        <w:bCs/>
        <w:spacing w:val="-2"/>
        <w:w w:val="100"/>
        <w:sz w:val="24"/>
        <w:szCs w:val="22"/>
      </w:rPr>
    </w:lvl>
    <w:lvl w:ilvl="2">
      <w:start w:val="1"/>
      <w:numFmt w:val="decimal"/>
      <w:lvlText w:val="%1.%2.%3"/>
      <w:lvlJc w:val="left"/>
      <w:pPr>
        <w:ind w:left="1900" w:hanging="720"/>
      </w:pPr>
      <w:rPr>
        <w:rFonts w:ascii="Times New Roman" w:eastAsia="Calibri" w:hAnsi="Times New Roman" w:cs="Calibri" w:hint="default"/>
        <w:b/>
        <w:bCs/>
        <w:spacing w:val="-2"/>
        <w:w w:val="100"/>
        <w:sz w:val="24"/>
        <w:szCs w:val="22"/>
      </w:rPr>
    </w:lvl>
    <w:lvl w:ilvl="3">
      <w:numFmt w:val="bullet"/>
      <w:lvlText w:val="•"/>
      <w:lvlJc w:val="left"/>
      <w:pPr>
        <w:ind w:left="1858" w:hanging="720"/>
      </w:pPr>
      <w:rPr>
        <w:rFonts w:hint="default"/>
      </w:rPr>
    </w:lvl>
    <w:lvl w:ilvl="4">
      <w:numFmt w:val="bullet"/>
      <w:lvlText w:val="•"/>
      <w:lvlJc w:val="left"/>
      <w:pPr>
        <w:ind w:left="1817" w:hanging="720"/>
      </w:pPr>
      <w:rPr>
        <w:rFonts w:hint="default"/>
      </w:rPr>
    </w:lvl>
    <w:lvl w:ilvl="5">
      <w:numFmt w:val="bullet"/>
      <w:lvlText w:val="•"/>
      <w:lvlJc w:val="left"/>
      <w:pPr>
        <w:ind w:left="1776" w:hanging="720"/>
      </w:pPr>
      <w:rPr>
        <w:rFonts w:hint="default"/>
      </w:rPr>
    </w:lvl>
    <w:lvl w:ilvl="6">
      <w:numFmt w:val="bullet"/>
      <w:lvlText w:val="•"/>
      <w:lvlJc w:val="left"/>
      <w:pPr>
        <w:ind w:left="1734" w:hanging="720"/>
      </w:pPr>
      <w:rPr>
        <w:rFonts w:hint="default"/>
      </w:rPr>
    </w:lvl>
    <w:lvl w:ilvl="7">
      <w:numFmt w:val="bullet"/>
      <w:lvlText w:val="•"/>
      <w:lvlJc w:val="left"/>
      <w:pPr>
        <w:ind w:left="1693" w:hanging="720"/>
      </w:pPr>
      <w:rPr>
        <w:rFonts w:hint="default"/>
      </w:rPr>
    </w:lvl>
    <w:lvl w:ilvl="8">
      <w:numFmt w:val="bullet"/>
      <w:lvlText w:val="•"/>
      <w:lvlJc w:val="left"/>
      <w:pPr>
        <w:ind w:left="1652" w:hanging="720"/>
      </w:pPr>
      <w:rPr>
        <w:rFonts w:hint="default"/>
      </w:rPr>
    </w:lvl>
  </w:abstractNum>
  <w:abstractNum w:abstractNumId="13" w15:restartNumberingAfterBreak="0">
    <w:nsid w:val="7A985A2D"/>
    <w:multiLevelType w:val="hybridMultilevel"/>
    <w:tmpl w:val="ED4291BC"/>
    <w:lvl w:ilvl="0" w:tplc="A800A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7B54EE"/>
    <w:multiLevelType w:val="hybridMultilevel"/>
    <w:tmpl w:val="ED28B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3"/>
  </w:num>
  <w:num w:numId="5">
    <w:abstractNumId w:val="0"/>
  </w:num>
  <w:num w:numId="6">
    <w:abstractNumId w:val="8"/>
  </w:num>
  <w:num w:numId="7">
    <w:abstractNumId w:val="11"/>
  </w:num>
  <w:num w:numId="8">
    <w:abstractNumId w:val="7"/>
  </w:num>
  <w:num w:numId="9">
    <w:abstractNumId w:val="4"/>
  </w:num>
  <w:num w:numId="10">
    <w:abstractNumId w:val="2"/>
  </w:num>
  <w:num w:numId="11">
    <w:abstractNumId w:val="12"/>
  </w:num>
  <w:num w:numId="12">
    <w:abstractNumId w:val="6"/>
  </w:num>
  <w:num w:numId="13">
    <w:abstractNumId w:val="5"/>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7D"/>
    <w:rsid w:val="000061D0"/>
    <w:rsid w:val="00007A5F"/>
    <w:rsid w:val="000317A9"/>
    <w:rsid w:val="00032749"/>
    <w:rsid w:val="000F55B4"/>
    <w:rsid w:val="00111A70"/>
    <w:rsid w:val="00112051"/>
    <w:rsid w:val="001162E7"/>
    <w:rsid w:val="00141893"/>
    <w:rsid w:val="00145B55"/>
    <w:rsid w:val="00182D43"/>
    <w:rsid w:val="00183F20"/>
    <w:rsid w:val="00202CD8"/>
    <w:rsid w:val="0020614A"/>
    <w:rsid w:val="00240A76"/>
    <w:rsid w:val="00267CDE"/>
    <w:rsid w:val="002E279E"/>
    <w:rsid w:val="00360AF0"/>
    <w:rsid w:val="003D6685"/>
    <w:rsid w:val="0041377E"/>
    <w:rsid w:val="0046710B"/>
    <w:rsid w:val="004D4692"/>
    <w:rsid w:val="004D59BC"/>
    <w:rsid w:val="004F09D0"/>
    <w:rsid w:val="00503C76"/>
    <w:rsid w:val="0053255A"/>
    <w:rsid w:val="0056355A"/>
    <w:rsid w:val="0059181A"/>
    <w:rsid w:val="005D1F8E"/>
    <w:rsid w:val="005D7062"/>
    <w:rsid w:val="00614989"/>
    <w:rsid w:val="00627A35"/>
    <w:rsid w:val="00657485"/>
    <w:rsid w:val="00670286"/>
    <w:rsid w:val="00676558"/>
    <w:rsid w:val="0068113B"/>
    <w:rsid w:val="006B75FC"/>
    <w:rsid w:val="006D5375"/>
    <w:rsid w:val="00717F10"/>
    <w:rsid w:val="0075004E"/>
    <w:rsid w:val="007841A5"/>
    <w:rsid w:val="007A3E66"/>
    <w:rsid w:val="007B5426"/>
    <w:rsid w:val="007D5422"/>
    <w:rsid w:val="008909F4"/>
    <w:rsid w:val="008D68CE"/>
    <w:rsid w:val="008E1D6C"/>
    <w:rsid w:val="008E2CE5"/>
    <w:rsid w:val="00994C89"/>
    <w:rsid w:val="009D6502"/>
    <w:rsid w:val="009E3450"/>
    <w:rsid w:val="009F52E6"/>
    <w:rsid w:val="00A60664"/>
    <w:rsid w:val="00A63272"/>
    <w:rsid w:val="00A6544E"/>
    <w:rsid w:val="00A67A1C"/>
    <w:rsid w:val="00A752B4"/>
    <w:rsid w:val="00A95DDE"/>
    <w:rsid w:val="00AA7C0C"/>
    <w:rsid w:val="00AC3591"/>
    <w:rsid w:val="00AD183E"/>
    <w:rsid w:val="00AF06CA"/>
    <w:rsid w:val="00AF70B7"/>
    <w:rsid w:val="00B47C97"/>
    <w:rsid w:val="00BA5618"/>
    <w:rsid w:val="00BC1CA8"/>
    <w:rsid w:val="00C10E3E"/>
    <w:rsid w:val="00C61283"/>
    <w:rsid w:val="00C96B02"/>
    <w:rsid w:val="00CE2A8B"/>
    <w:rsid w:val="00D7360C"/>
    <w:rsid w:val="00E065A2"/>
    <w:rsid w:val="00E230BD"/>
    <w:rsid w:val="00E57E72"/>
    <w:rsid w:val="00E722E2"/>
    <w:rsid w:val="00E902B8"/>
    <w:rsid w:val="00EA0B36"/>
    <w:rsid w:val="00EA1A84"/>
    <w:rsid w:val="00F43796"/>
    <w:rsid w:val="00F73D33"/>
    <w:rsid w:val="00F766DF"/>
    <w:rsid w:val="00F8452F"/>
    <w:rsid w:val="00F9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A256"/>
  <w15:chartTrackingRefBased/>
  <w15:docId w15:val="{D36AFAB5-CA93-4623-A984-CD4D85A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rPr>
  </w:style>
  <w:style w:type="paragraph" w:styleId="Heading1">
    <w:name w:val="heading 1"/>
    <w:basedOn w:val="Normal"/>
    <w:link w:val="Heading1Char"/>
    <w:uiPriority w:val="9"/>
    <w:qFormat/>
    <w:rsid w:val="00145B55"/>
    <w:pPr>
      <w:widowControl w:val="0"/>
      <w:autoSpaceDE w:val="0"/>
      <w:autoSpaceDN w:val="0"/>
      <w:spacing w:after="0"/>
      <w:ind w:left="1540" w:hanging="7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96B02"/>
    <w:pPr>
      <w:spacing w:after="0"/>
    </w:pPr>
    <w:rPr>
      <w:sz w:val="20"/>
      <w:szCs w:val="20"/>
    </w:rPr>
  </w:style>
  <w:style w:type="character" w:customStyle="1" w:styleId="FootnoteTextChar">
    <w:name w:val="Footnote Text Char"/>
    <w:basedOn w:val="DefaultParagraphFont"/>
    <w:link w:val="FootnoteText"/>
    <w:uiPriority w:val="99"/>
    <w:semiHidden/>
    <w:rsid w:val="00C96B02"/>
    <w:rPr>
      <w:rFonts w:ascii="Times New Roman" w:eastAsia="Times New Roman" w:hAnsi="Times New Roman"/>
    </w:rPr>
  </w:style>
  <w:style w:type="character" w:styleId="FootnoteReference">
    <w:name w:val="footnote reference"/>
    <w:basedOn w:val="DefaultParagraphFont"/>
    <w:uiPriority w:val="99"/>
    <w:semiHidden/>
    <w:unhideWhenUsed/>
    <w:rsid w:val="00C96B02"/>
    <w:rPr>
      <w:vertAlign w:val="superscript"/>
    </w:rPr>
  </w:style>
  <w:style w:type="character" w:styleId="Hyperlink">
    <w:name w:val="Hyperlink"/>
    <w:basedOn w:val="DefaultParagraphFont"/>
    <w:uiPriority w:val="99"/>
    <w:unhideWhenUsed/>
    <w:rsid w:val="00C96B02"/>
    <w:rPr>
      <w:color w:val="0563C1" w:themeColor="hyperlink"/>
      <w:u w:val="single"/>
    </w:rPr>
  </w:style>
  <w:style w:type="character" w:customStyle="1" w:styleId="UnresolvedMention1">
    <w:name w:val="Unresolved Mention1"/>
    <w:basedOn w:val="DefaultParagraphFont"/>
    <w:uiPriority w:val="99"/>
    <w:semiHidden/>
    <w:unhideWhenUsed/>
    <w:rsid w:val="00C96B02"/>
    <w:rPr>
      <w:color w:val="605E5C"/>
      <w:shd w:val="clear" w:color="auto" w:fill="E1DFDD"/>
    </w:rPr>
  </w:style>
  <w:style w:type="character" w:styleId="Strong">
    <w:name w:val="Strong"/>
    <w:basedOn w:val="DefaultParagraphFont"/>
    <w:uiPriority w:val="22"/>
    <w:qFormat/>
    <w:rsid w:val="000F55B4"/>
    <w:rPr>
      <w:b/>
      <w:bCs/>
    </w:rPr>
  </w:style>
  <w:style w:type="paragraph" w:styleId="ListParagraph">
    <w:name w:val="List Paragraph"/>
    <w:basedOn w:val="Normal"/>
    <w:uiPriority w:val="1"/>
    <w:qFormat/>
    <w:rsid w:val="00182D43"/>
    <w:pPr>
      <w:ind w:left="720"/>
      <w:contextualSpacing/>
    </w:pPr>
  </w:style>
  <w:style w:type="paragraph" w:styleId="Header">
    <w:name w:val="header"/>
    <w:basedOn w:val="Normal"/>
    <w:link w:val="HeaderChar"/>
    <w:uiPriority w:val="99"/>
    <w:unhideWhenUsed/>
    <w:rsid w:val="00240A76"/>
    <w:pPr>
      <w:tabs>
        <w:tab w:val="center" w:pos="4680"/>
        <w:tab w:val="right" w:pos="9360"/>
      </w:tabs>
      <w:spacing w:after="0"/>
    </w:pPr>
  </w:style>
  <w:style w:type="character" w:customStyle="1" w:styleId="HeaderChar">
    <w:name w:val="Header Char"/>
    <w:basedOn w:val="DefaultParagraphFont"/>
    <w:link w:val="Header"/>
    <w:uiPriority w:val="99"/>
    <w:rsid w:val="00240A76"/>
    <w:rPr>
      <w:rFonts w:ascii="Times New Roman" w:eastAsia="Times New Roman" w:hAnsi="Times New Roman"/>
      <w:sz w:val="24"/>
      <w:szCs w:val="24"/>
    </w:rPr>
  </w:style>
  <w:style w:type="paragraph" w:styleId="Footer">
    <w:name w:val="footer"/>
    <w:basedOn w:val="Normal"/>
    <w:link w:val="FooterChar"/>
    <w:uiPriority w:val="99"/>
    <w:unhideWhenUsed/>
    <w:rsid w:val="00240A76"/>
    <w:pPr>
      <w:tabs>
        <w:tab w:val="center" w:pos="4680"/>
        <w:tab w:val="right" w:pos="9360"/>
      </w:tabs>
      <w:spacing w:after="0"/>
    </w:pPr>
  </w:style>
  <w:style w:type="character" w:customStyle="1" w:styleId="FooterChar">
    <w:name w:val="Footer Char"/>
    <w:basedOn w:val="DefaultParagraphFont"/>
    <w:link w:val="Footer"/>
    <w:uiPriority w:val="99"/>
    <w:rsid w:val="00240A7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34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5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45B55"/>
    <w:rPr>
      <w:rFonts w:cs="Calibri"/>
      <w:b/>
      <w:bCs/>
      <w:sz w:val="22"/>
      <w:szCs w:val="22"/>
    </w:rPr>
  </w:style>
  <w:style w:type="paragraph" w:styleId="BodyText">
    <w:name w:val="Body Text"/>
    <w:basedOn w:val="Normal"/>
    <w:link w:val="BodyTextChar"/>
    <w:uiPriority w:val="1"/>
    <w:qFormat/>
    <w:rsid w:val="00145B55"/>
    <w:pPr>
      <w:widowControl w:val="0"/>
      <w:autoSpaceDE w:val="0"/>
      <w:autoSpaceDN w:val="0"/>
      <w:spacing w:after="0"/>
    </w:pPr>
    <w:rPr>
      <w:rFonts w:ascii="Calibri" w:eastAsia="Calibri" w:hAnsi="Calibri" w:cs="Calibri"/>
      <w:sz w:val="22"/>
      <w:szCs w:val="22"/>
    </w:rPr>
  </w:style>
  <w:style w:type="character" w:customStyle="1" w:styleId="BodyTextChar">
    <w:name w:val="Body Text Char"/>
    <w:basedOn w:val="DefaultParagraphFont"/>
    <w:link w:val="BodyText"/>
    <w:uiPriority w:val="1"/>
    <w:rsid w:val="00145B55"/>
    <w:rPr>
      <w:rFonts w:cs="Calibri"/>
      <w:sz w:val="22"/>
      <w:szCs w:val="22"/>
    </w:rPr>
  </w:style>
  <w:style w:type="character" w:styleId="CommentReference">
    <w:name w:val="annotation reference"/>
    <w:basedOn w:val="DefaultParagraphFont"/>
    <w:uiPriority w:val="99"/>
    <w:semiHidden/>
    <w:unhideWhenUsed/>
    <w:rsid w:val="00145B55"/>
    <w:rPr>
      <w:sz w:val="16"/>
      <w:szCs w:val="16"/>
    </w:rPr>
  </w:style>
  <w:style w:type="paragraph" w:styleId="CommentText">
    <w:name w:val="annotation text"/>
    <w:basedOn w:val="Normal"/>
    <w:link w:val="CommentTextChar"/>
    <w:uiPriority w:val="99"/>
    <w:semiHidden/>
    <w:unhideWhenUsed/>
    <w:rsid w:val="00145B55"/>
    <w:pPr>
      <w:widowControl w:val="0"/>
      <w:autoSpaceDE w:val="0"/>
      <w:autoSpaceDN w:val="0"/>
      <w:spacing w:after="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145B55"/>
    <w:rPr>
      <w:rFonts w:cs="Calibri"/>
    </w:rPr>
  </w:style>
  <w:style w:type="paragraph" w:styleId="CommentSubject">
    <w:name w:val="annotation subject"/>
    <w:basedOn w:val="CommentText"/>
    <w:next w:val="CommentText"/>
    <w:link w:val="CommentSubjectChar"/>
    <w:uiPriority w:val="99"/>
    <w:semiHidden/>
    <w:unhideWhenUsed/>
    <w:rsid w:val="007D5422"/>
    <w:pPr>
      <w:widowControl/>
      <w:autoSpaceDE/>
      <w:autoSpaceDN/>
      <w:spacing w:after="24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D5422"/>
    <w:rPr>
      <w:rFonts w:ascii="Times New Roman" w:eastAsia="Times New Roman" w:hAnsi="Times New Roman"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0BB1-78B6-43ED-8656-9A0495F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Slaughter, Susan</cp:lastModifiedBy>
  <cp:revision>6</cp:revision>
  <cp:lastPrinted>2019-02-20T18:26:00Z</cp:lastPrinted>
  <dcterms:created xsi:type="dcterms:W3CDTF">2021-01-26T19:13:00Z</dcterms:created>
  <dcterms:modified xsi:type="dcterms:W3CDTF">2021-06-08T16:58:00Z</dcterms:modified>
</cp:coreProperties>
</file>